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Whistleblower Policy</w:t>
      </w:r>
    </w:p>
    <w:p>
      <w:pPr>
        <w:pStyle w:val="Heading1"/>
        <w:spacing w:after="120" w:before="240"/>
      </w:pPr>
      <w:r>
        <w:rPr>
          <w:b/>
          <w:bCs/>
          <w:color w:val="000000"/>
          <w:sz w:val="28"/>
          <w:szCs w:val="28"/>
        </w:rPr>
        <w:t xml:space="preserve">Purpose</w:t>
      </w:r>
    </w:p>
    <w:p>
      <w:pPr>
        <w:spacing w:after="160" w:line="276"/>
      </w:pPr>
      <w:r>
        <w:rPr>
          <w:color w:val="000000"/>
          <w:sz w:val="24"/>
          <w:szCs w:val="24"/>
        </w:rPr>
        <w:t xml:space="preserve">This policy gives employees and anyone connected to the company a safe, confidential way to report suspected misconduct, without fear of retaliation.</w:t>
      </w:r>
    </w:p>
    <w:p>
      <w:pPr>
        <w:pStyle w:val="Heading1"/>
        <w:spacing w:after="120" w:before="240"/>
      </w:pPr>
      <w:r>
        <w:rPr>
          <w:b/>
          <w:bCs/>
          <w:color w:val="000000"/>
          <w:sz w:val="28"/>
          <w:szCs w:val="28"/>
        </w:rPr>
        <w:t xml:space="preserve">Who This Covers</w:t>
      </w:r>
    </w:p>
    <w:p>
      <w:pPr>
        <w:spacing w:after="160" w:line="276"/>
      </w:pPr>
      <w:r>
        <w:rPr>
          <w:color w:val="000000"/>
          <w:sz w:val="24"/>
          <w:szCs w:val="24"/>
        </w:rPr>
        <w:t xml:space="preserve">Every employee, intern, contractor, vendor, and partner of the company falls under this policy, including those at subsidiaries and affiliates. It covers conduct both on and off company premises, as long as it relates to company business.</w:t>
      </w:r>
    </w:p>
    <w:p>
      <w:pPr>
        <w:pStyle w:val="Heading1"/>
        <w:spacing w:after="120" w:before="240"/>
      </w:pPr>
      <w:r>
        <w:rPr>
          <w:b/>
          <w:bCs/>
          <w:color w:val="000000"/>
          <w:sz w:val="28"/>
          <w:szCs w:val="28"/>
        </w:rPr>
        <w:t xml:space="preserve">What Counts as a Reportable Concern</w:t>
      </w:r>
    </w:p>
    <w:p>
      <w:pPr>
        <w:pStyle w:val="ListParagraph"/>
        <w:numPr>
          <w:ilvl w:val="0"/>
          <w:numId w:val="2"/>
        </w:numPr>
        <w:spacing w:after="100" w:line="276"/>
      </w:pPr>
      <w:r>
        <w:rPr>
          <w:color w:val="000000"/>
          <w:sz w:val="24"/>
          <w:szCs w:val="24"/>
        </w:rPr>
        <w:t xml:space="preserve">Violations of law or regulation</w:t>
      </w:r>
    </w:p>
    <w:p>
      <w:pPr>
        <w:pStyle w:val="ListParagraph"/>
        <w:numPr>
          <w:ilvl w:val="0"/>
          <w:numId w:val="2"/>
        </w:numPr>
        <w:spacing w:after="100" w:line="276"/>
      </w:pPr>
      <w:r>
        <w:rPr>
          <w:color w:val="000000"/>
          <w:sz w:val="24"/>
          <w:szCs w:val="24"/>
        </w:rPr>
        <w:t xml:space="preserve">Breaches of the code of conduct or company policy</w:t>
      </w:r>
    </w:p>
    <w:p>
      <w:pPr>
        <w:pStyle w:val="ListParagraph"/>
        <w:numPr>
          <w:ilvl w:val="0"/>
          <w:numId w:val="2"/>
        </w:numPr>
        <w:spacing w:after="100" w:line="276"/>
      </w:pPr>
      <w:r>
        <w:rPr>
          <w:color w:val="000000"/>
          <w:sz w:val="24"/>
          <w:szCs w:val="24"/>
        </w:rPr>
        <w:t xml:space="preserve">Irregular accounting or financial practices</w:t>
      </w:r>
    </w:p>
    <w:p>
      <w:pPr>
        <w:pStyle w:val="ListParagraph"/>
        <w:numPr>
          <w:ilvl w:val="0"/>
          <w:numId w:val="2"/>
        </w:numPr>
        <w:spacing w:after="100" w:line="276"/>
      </w:pPr>
      <w:r>
        <w:rPr>
          <w:color w:val="000000"/>
          <w:sz w:val="24"/>
          <w:szCs w:val="24"/>
        </w:rPr>
        <w:t xml:space="preserve">Bribery, corruption, or misuse of authority</w:t>
      </w:r>
    </w:p>
    <w:p>
      <w:pPr>
        <w:pStyle w:val="ListParagraph"/>
        <w:numPr>
          <w:ilvl w:val="0"/>
          <w:numId w:val="2"/>
        </w:numPr>
        <w:spacing w:after="100" w:line="276"/>
      </w:pPr>
      <w:r>
        <w:rPr>
          <w:color w:val="000000"/>
          <w:sz w:val="24"/>
          <w:szCs w:val="24"/>
        </w:rPr>
        <w:t xml:space="preserve">Safety risks</w:t>
      </w:r>
    </w:p>
    <w:p>
      <w:pPr>
        <w:pStyle w:val="ListParagraph"/>
        <w:numPr>
          <w:ilvl w:val="0"/>
          <w:numId w:val="2"/>
        </w:numPr>
        <w:spacing w:after="100" w:line="276"/>
      </w:pPr>
      <w:r>
        <w:rPr>
          <w:color w:val="000000"/>
          <w:sz w:val="24"/>
          <w:szCs w:val="24"/>
        </w:rPr>
        <w:t xml:space="preserve">Discrimination or harassment</w:t>
      </w:r>
    </w:p>
    <w:p>
      <w:pPr>
        <w:pStyle w:val="ListParagraph"/>
        <w:numPr>
          <w:ilvl w:val="0"/>
          <w:numId w:val="2"/>
        </w:numPr>
        <w:spacing w:after="100" w:line="276"/>
      </w:pPr>
      <w:r>
        <w:rPr>
          <w:color w:val="000000"/>
          <w:sz w:val="24"/>
          <w:szCs w:val="24"/>
        </w:rPr>
        <w:t xml:space="preserve">Data privacy violations</w:t>
      </w:r>
    </w:p>
    <w:p>
      <w:pPr>
        <w:pStyle w:val="ListParagraph"/>
        <w:numPr>
          <w:ilvl w:val="0"/>
          <w:numId w:val="2"/>
        </w:numPr>
        <w:spacing w:after="100" w:line="276"/>
      </w:pPr>
      <w:r>
        <w:rPr>
          <w:color w:val="000000"/>
          <w:sz w:val="24"/>
          <w:szCs w:val="24"/>
        </w:rPr>
        <w:t xml:space="preserve">Attempts to conceal any of the above</w:t>
      </w:r>
    </w:p>
    <w:p>
      <w:pPr>
        <w:pStyle w:val="Heading1"/>
        <w:spacing w:after="120" w:before="240"/>
      </w:pPr>
      <w:r>
        <w:rPr>
          <w:b/>
          <w:bCs/>
          <w:color w:val="000000"/>
          <w:sz w:val="28"/>
          <w:szCs w:val="28"/>
        </w:rPr>
        <w:t xml:space="preserve">How to Report</w:t>
      </w:r>
    </w:p>
    <w:p>
      <w:pPr>
        <w:pStyle w:val="ListParagraph"/>
        <w:numPr>
          <w:ilvl w:val="0"/>
          <w:numId w:val="2"/>
        </w:numPr>
        <w:spacing w:after="100" w:line="276"/>
      </w:pPr>
      <w:r>
        <w:rPr>
          <w:color w:val="000000"/>
          <w:sz w:val="24"/>
          <w:szCs w:val="24"/>
        </w:rPr>
        <w:t xml:space="preserve">A secure online portal, with a case ID and automatic acknowledgment within 48 hours</w:t>
      </w:r>
    </w:p>
    <w:p>
      <w:pPr>
        <w:pStyle w:val="ListParagraph"/>
        <w:numPr>
          <w:ilvl w:val="0"/>
          <w:numId w:val="2"/>
        </w:numPr>
        <w:spacing w:after="100" w:line="276"/>
      </w:pPr>
      <w:r>
        <w:rPr>
          <w:color w:val="000000"/>
          <w:sz w:val="24"/>
          <w:szCs w:val="24"/>
        </w:rPr>
        <w:t xml:space="preserve">A dedicated compliance email address</w:t>
      </w:r>
    </w:p>
    <w:p>
      <w:pPr>
        <w:pStyle w:val="ListParagraph"/>
        <w:numPr>
          <w:ilvl w:val="0"/>
          <w:numId w:val="2"/>
        </w:numPr>
        <w:spacing w:after="100" w:line="276"/>
      </w:pPr>
      <w:r>
        <w:rPr>
          <w:color w:val="000000"/>
          <w:sz w:val="24"/>
          <w:szCs w:val="24"/>
        </w:rPr>
        <w:t xml:space="preserve">An anonymous toll-free hotline</w:t>
      </w:r>
    </w:p>
    <w:p>
      <w:pPr>
        <w:pStyle w:val="ListParagraph"/>
        <w:numPr>
          <w:ilvl w:val="0"/>
          <w:numId w:val="2"/>
        </w:numPr>
        <w:spacing w:after="100" w:line="276"/>
      </w:pPr>
      <w:r>
        <w:rPr>
          <w:color w:val="000000"/>
          <w:sz w:val="24"/>
          <w:szCs w:val="24"/>
        </w:rPr>
        <w:t xml:space="preserve">Escalation to the Head of Department, Chief Compliance Officer, or Audit/Ethics Committee, if the concern involves a manager or HR directly</w:t>
      </w:r>
    </w:p>
    <w:p>
      <w:pPr>
        <w:pStyle w:val="Heading1"/>
        <w:spacing w:after="120" w:before="240"/>
      </w:pPr>
      <w:r>
        <w:rPr>
          <w:b/>
          <w:bCs/>
          <w:color w:val="000000"/>
          <w:sz w:val="28"/>
          <w:szCs w:val="28"/>
        </w:rPr>
        <w:t xml:space="preserve">Our Commitment to No Retaliation</w:t>
      </w:r>
    </w:p>
    <w:p>
      <w:pPr>
        <w:spacing w:after="160" w:line="276"/>
      </w:pPr>
      <w:r>
        <w:rPr>
          <w:color w:val="000000"/>
          <w:sz w:val="24"/>
          <w:szCs w:val="24"/>
        </w:rPr>
        <w:t xml:space="preserve">Retaliating against, intimidating, or penalizing a whistleblower or witness is strictly prohibited and leads to disciplinary action, which may include termination and legal consequences. Reports made in good faith are protected, even if an investigation doesn't substantiate them.</w:t>
      </w:r>
    </w:p>
    <w:p>
      <w:pPr>
        <w:pStyle w:val="Heading1"/>
        <w:spacing w:after="120" w:before="240"/>
      </w:pPr>
      <w:r>
        <w:rPr>
          <w:b/>
          <w:bCs/>
          <w:color w:val="000000"/>
          <w:sz w:val="28"/>
          <w:szCs w:val="28"/>
        </w:rPr>
        <w:t xml:space="preserve">How Confidentiality Works</w:t>
      </w:r>
    </w:p>
    <w:p>
      <w:pPr>
        <w:spacing w:after="160" w:line="276"/>
      </w:pPr>
      <w:r>
        <w:rPr>
          <w:color w:val="000000"/>
          <w:sz w:val="24"/>
          <w:szCs w:val="24"/>
        </w:rPr>
        <w:t xml:space="preserve">Reports are kept as confidential as the law allows, shared only with people who need the information to investigate and resolve the case. Case records are stored with access controls and encryption, and retained according to the company's standard retention schedule.</w:t>
      </w:r>
    </w:p>
    <w:p>
      <w:pPr>
        <w:pStyle w:val="Heading1"/>
        <w:spacing w:after="120" w:before="240"/>
      </w:pPr>
      <w:r>
        <w:rPr>
          <w:b/>
          <w:bCs/>
          <w:color w:val="000000"/>
          <w:sz w:val="28"/>
          <w:szCs w:val="28"/>
        </w:rPr>
        <w:t xml:space="preserve">How a Report Gets Handled</w:t>
      </w:r>
    </w:p>
    <w:p>
      <w:pPr>
        <w:spacing w:after="160" w:line="276"/>
      </w:pPr>
      <w:r>
        <w:rPr>
          <w:color w:val="000000"/>
          <w:sz w:val="24"/>
          <w:szCs w:val="24"/>
        </w:rPr>
        <w:t xml:space="preserve">Reports are acknowledged within two business days and assessed for severity and risk. An independent investigator or panel looks into the matter, interviews the whistleblower and relevant witnesses, and documents findings. A preliminary review is completed within 10 business days, with a full report following within 30 to 45 business days.</w:t>
      </w:r>
    </w:p>
    <w:p>
      <w:pPr>
        <w:pStyle w:val="Heading1"/>
        <w:spacing w:after="120" w:before="240"/>
      </w:pPr>
      <w:r>
        <w:rPr>
          <w:b/>
          <w:bCs/>
          <w:color w:val="000000"/>
          <w:sz w:val="28"/>
          <w:szCs w:val="28"/>
        </w:rPr>
        <w:t xml:space="preserve">False or Malicious Reports</w:t>
      </w:r>
    </w:p>
    <w:p>
      <w:pPr>
        <w:spacing w:after="160" w:line="276"/>
      </w:pPr>
      <w:r>
        <w:rPr>
          <w:color w:val="000000"/>
          <w:sz w:val="24"/>
          <w:szCs w:val="24"/>
        </w:rPr>
        <w:t xml:space="preserve">Reports made knowingly and in bad faith aren't protected under this policy and can lead to disciplinary action. This is separate from reports made in good faith that turn out to be mistaken, which remain fully protected.</w:t>
      </w:r>
    </w:p>
    <w:p>
      <w:pPr>
        <w:pStyle w:val="Heading1"/>
        <w:spacing w:after="120" w:before="240"/>
      </w:pPr>
      <w:r>
        <w:rPr>
          <w:b/>
          <w:bCs/>
          <w:color w:val="000000"/>
          <w:sz w:val="28"/>
          <w:szCs w:val="28"/>
        </w:rPr>
        <w:t xml:space="preserve">Who's Responsible for What</w:t>
      </w:r>
    </w:p>
    <w:p>
      <w:pPr>
        <w:pStyle w:val="ListParagraph"/>
        <w:numPr>
          <w:ilvl w:val="0"/>
          <w:numId w:val="2"/>
        </w:numPr>
        <w:spacing w:after="100" w:line="276"/>
      </w:pPr>
      <w:r>
        <w:rPr>
          <w:color w:val="000000"/>
          <w:sz w:val="24"/>
          <w:szCs w:val="24"/>
        </w:rPr>
        <w:t xml:space="preserve">Employees report concerns and cooperate with investigations</w:t>
      </w:r>
    </w:p>
    <w:p>
      <w:pPr>
        <w:pStyle w:val="ListParagraph"/>
        <w:numPr>
          <w:ilvl w:val="0"/>
          <w:numId w:val="2"/>
        </w:numPr>
        <w:spacing w:after="100" w:line="276"/>
      </w:pPr>
      <w:r>
        <w:rPr>
          <w:color w:val="000000"/>
          <w:sz w:val="24"/>
          <w:szCs w:val="24"/>
        </w:rPr>
        <w:t xml:space="preserve">Managers keep matters discreet and support HR and investigators rather than confronting the situation directly</w:t>
      </w:r>
    </w:p>
    <w:p>
      <w:pPr>
        <w:pStyle w:val="ListParagraph"/>
        <w:numPr>
          <w:ilvl w:val="0"/>
          <w:numId w:val="2"/>
        </w:numPr>
        <w:spacing w:after="100" w:line="276"/>
      </w:pPr>
      <w:r>
        <w:rPr>
          <w:color w:val="000000"/>
          <w:sz w:val="24"/>
          <w:szCs w:val="24"/>
        </w:rPr>
        <w:t xml:space="preserve">Investigators work impartially and document their findings thoroughly</w:t>
      </w:r>
    </w:p>
    <w:p>
      <w:pPr>
        <w:pStyle w:val="ListParagraph"/>
        <w:numPr>
          <w:ilvl w:val="0"/>
          <w:numId w:val="2"/>
        </w:numPr>
        <w:spacing w:after="100" w:line="276"/>
      </w:pPr>
      <w:r>
        <w:rPr>
          <w:color w:val="000000"/>
          <w:sz w:val="24"/>
          <w:szCs w:val="24"/>
        </w:rPr>
        <w:t xml:space="preserve">HR and Legal oversee due process and keep the policy current with applicable law</w:t>
      </w:r>
    </w:p>
    <w:p>
      <w:pPr>
        <w:pStyle w:val="Heading1"/>
        <w:spacing w:after="120" w:before="240"/>
      </w:pPr>
      <w:r>
        <w:rPr>
          <w:b/>
          <w:bCs/>
          <w:color w:val="000000"/>
          <w:sz w:val="28"/>
          <w:szCs w:val="28"/>
        </w:rPr>
        <w:t xml:space="preserve">Training and Records</w:t>
      </w:r>
    </w:p>
    <w:p>
      <w:pPr>
        <w:spacing w:after="160" w:line="276"/>
      </w:pPr>
      <w:r>
        <w:rPr>
          <w:color w:val="000000"/>
          <w:sz w:val="24"/>
          <w:szCs w:val="24"/>
        </w:rPr>
        <w:t xml:space="preserve">Employees are trained on this policy annually, and the company shares anonymized case insights to build trust in the process. A secure case register tracks every report's status and outcome, with a summary shared with leadership and the board each quarter.</w:t>
      </w:r>
    </w:p>
    <w:p>
      <w:pPr>
        <w:pStyle w:val="Heading1"/>
        <w:spacing w:after="120" w:before="240"/>
      </w:pPr>
      <w:r>
        <w:rPr>
          <w:b/>
          <w:bCs/>
          <w:color w:val="000000"/>
          <w:sz w:val="28"/>
          <w:szCs w:val="28"/>
        </w:rPr>
        <w:t xml:space="preserve">Questions</w:t>
      </w:r>
    </w:p>
    <w:p>
      <w:pPr>
        <w:spacing w:after="160" w:line="276"/>
      </w:pPr>
      <w:r>
        <w:rPr>
          <w:color w:val="000000"/>
          <w:sz w:val="24"/>
          <w:szCs w:val="24"/>
        </w:rPr>
        <w:t xml:space="preserve">Direct any questions about this policy to the Compliance Officer during business hours, or use the secure reporting portal at any time to report an incident.</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2026-10-07T10:58:28.503Z</dcterms:created>
  <dcterms:modified xsi:type="dcterms:W3CDTF">2026-10-07T10:58:28.503Z</dcterms:modified>
</cp:coreProperties>
</file>

<file path=docProps/custom.xml><?xml version="1.0" encoding="utf-8"?>
<Properties xmlns="http://schemas.openxmlformats.org/officeDocument/2006/custom-properties" xmlns:vt="http://schemas.openxmlformats.org/officeDocument/2006/docPropsVTypes"/>
</file>