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Employee Referral Policy</w:t>
      </w:r>
    </w:p>
    <w:p>
      <w:pPr>
        <w:pStyle w:val="Heading1"/>
        <w:spacing w:after="120" w:before="240"/>
      </w:pPr>
      <w:r>
        <w:rPr>
          <w:b/>
          <w:bCs/>
          <w:color w:val="000000"/>
          <w:sz w:val="28"/>
          <w:szCs w:val="28"/>
        </w:rPr>
        <w:t xml:space="preserve">Why Referrals Matter</w:t>
      </w:r>
    </w:p>
    <w:p>
      <w:pPr>
        <w:spacing w:after="160" w:line="276"/>
      </w:pPr>
      <w:r>
        <w:rPr>
          <w:color w:val="000000"/>
          <w:sz w:val="24"/>
          <w:szCs w:val="24"/>
        </w:rPr>
        <w:t xml:space="preserve">Employees who already work here tend to know exactly who'd thrive in this environment. This policy rewards them for pointing good people our way.</w:t>
      </w:r>
    </w:p>
    <w:p>
      <w:pPr>
        <w:pStyle w:val="Heading1"/>
        <w:spacing w:after="120" w:before="240"/>
      </w:pPr>
      <w:r>
        <w:rPr>
          <w:b/>
          <w:bCs/>
          <w:color w:val="000000"/>
          <w:sz w:val="28"/>
          <w:szCs w:val="28"/>
        </w:rPr>
        <w:t xml:space="preserve">Who Can Participate</w:t>
      </w:r>
    </w:p>
    <w:p>
      <w:pPr>
        <w:spacing w:after="160" w:line="276"/>
      </w:pPr>
      <w:r>
        <w:rPr>
          <w:color w:val="000000"/>
          <w:sz w:val="24"/>
          <w:szCs w:val="24"/>
        </w:rPr>
        <w:t xml:space="preserve">Every employee is eligible to refer a candidate, except Functional Heads, HODs, HR team members, and anyone with influence over the hiring decision for that role.</w:t>
      </w:r>
    </w:p>
    <w:p>
      <w:pPr>
        <w:pStyle w:val="Heading1"/>
        <w:spacing w:after="120" w:before="240"/>
      </w:pPr>
      <w:r>
        <w:rPr>
          <w:b/>
          <w:bCs/>
          <w:color w:val="000000"/>
          <w:sz w:val="28"/>
          <w:szCs w:val="28"/>
        </w:rPr>
        <w:t xml:space="preserve">How to Refer Someone</w:t>
      </w:r>
    </w:p>
    <w:p>
      <w:pPr>
        <w:spacing w:after="160" w:line="276"/>
      </w:pPr>
      <w:r>
        <w:rPr>
          <w:color w:val="000000"/>
          <w:sz w:val="24"/>
          <w:szCs w:val="24"/>
        </w:rPr>
        <w:t xml:space="preserve">Check open roles posted through HR, confirm the candidate's consent, and send their resume through the HR system. From there, they go through the same hiring process as any other applicant.</w:t>
      </w:r>
    </w:p>
    <w:p>
      <w:pPr>
        <w:pStyle w:val="Heading1"/>
        <w:spacing w:after="120" w:before="240"/>
      </w:pPr>
      <w:r>
        <w:rPr>
          <w:b/>
          <w:bCs/>
          <w:color w:val="000000"/>
          <w:sz w:val="28"/>
          <w:szCs w:val="28"/>
        </w:rPr>
        <w:t xml:space="preserve">What Disqualifies a Referral</w:t>
      </w:r>
    </w:p>
    <w:p>
      <w:pPr>
        <w:pStyle w:val="ListParagraph"/>
        <w:numPr>
          <w:ilvl w:val="0"/>
          <w:numId w:val="2"/>
        </w:numPr>
        <w:spacing w:after="100" w:line="276"/>
      </w:pPr>
      <w:r>
        <w:rPr>
          <w:color w:val="000000"/>
          <w:sz w:val="24"/>
          <w:szCs w:val="24"/>
        </w:rPr>
        <w:t xml:space="preserve">A candidate who's already applied elsewhere or exists in our database</w:t>
      </w:r>
    </w:p>
    <w:p>
      <w:pPr>
        <w:pStyle w:val="ListParagraph"/>
        <w:numPr>
          <w:ilvl w:val="0"/>
          <w:numId w:val="2"/>
        </w:numPr>
        <w:spacing w:after="100" w:line="276"/>
      </w:pPr>
      <w:r>
        <w:rPr>
          <w:color w:val="000000"/>
          <w:sz w:val="24"/>
          <w:szCs w:val="24"/>
        </w:rPr>
        <w:t xml:space="preserve">Ex-employees, campus hires, and freshers</w:t>
      </w:r>
    </w:p>
    <w:p>
      <w:pPr>
        <w:pStyle w:val="ListParagraph"/>
        <w:numPr>
          <w:ilvl w:val="0"/>
          <w:numId w:val="2"/>
        </w:numPr>
        <w:spacing w:after="100" w:line="276"/>
      </w:pPr>
      <w:r>
        <w:rPr>
          <w:color w:val="000000"/>
          <w:sz w:val="24"/>
          <w:szCs w:val="24"/>
        </w:rPr>
        <w:t xml:space="preserve">Candidates with under 12 months of relevant experience</w:t>
      </w:r>
    </w:p>
    <w:p>
      <w:pPr>
        <w:pStyle w:val="ListParagraph"/>
        <w:numPr>
          <w:ilvl w:val="0"/>
          <w:numId w:val="2"/>
        </w:numPr>
        <w:spacing w:after="100" w:line="276"/>
      </w:pPr>
      <w:r>
        <w:rPr>
          <w:color w:val="000000"/>
          <w:sz w:val="24"/>
          <w:szCs w:val="24"/>
        </w:rPr>
        <w:t xml:space="preserve">A duplicate referral, where credit goes to whoever's resume arrived first</w:t>
      </w:r>
    </w:p>
    <w:p>
      <w:pPr>
        <w:pStyle w:val="Heading1"/>
        <w:spacing w:after="120" w:before="240"/>
      </w:pPr>
      <w:r>
        <w:rPr>
          <w:b/>
          <w:bCs/>
          <w:color w:val="000000"/>
          <w:sz w:val="28"/>
          <w:szCs w:val="28"/>
        </w:rPr>
        <w:t xml:space="preserve">When the Bonus Pays Out</w:t>
      </w:r>
    </w:p>
    <w:p>
      <w:pPr>
        <w:spacing w:after="160" w:line="276"/>
      </w:pPr>
      <w:r>
        <w:rPr>
          <w:color w:val="000000"/>
          <w:sz w:val="24"/>
          <w:szCs w:val="24"/>
        </w:rPr>
        <w:t xml:space="preserve">The referring employee earns points once the candidate joins and completes three consecutive months with the company. For fixed-term hires expected to convert to regular roles, the bonus pays out after training wraps up.</w:t>
      </w:r>
    </w:p>
    <w:p>
      <w:pPr>
        <w:pStyle w:val="Heading1"/>
        <w:spacing w:after="120" w:before="240"/>
      </w:pPr>
      <w:r>
        <w:rPr>
          <w:b/>
          <w:bCs/>
          <w:color w:val="000000"/>
          <w:sz w:val="28"/>
          <w:szCs w:val="28"/>
        </w:rPr>
        <w:t xml:space="preserve">Staying Out of the Process</w:t>
      </w:r>
    </w:p>
    <w:p>
      <w:pPr>
        <w:spacing w:after="160" w:line="276"/>
      </w:pPr>
      <w:r>
        <w:rPr>
          <w:color w:val="000000"/>
          <w:sz w:val="24"/>
          <w:szCs w:val="24"/>
        </w:rPr>
        <w:t xml:space="preserve">Employees who refer a candidate can't take part in that candidate's interview, selection, or compensation discussion in any way.</w:t>
      </w:r>
    </w:p>
    <w:p>
      <w:pPr>
        <w:pStyle w:val="Heading1"/>
        <w:spacing w:after="120" w:before="240"/>
      </w:pPr>
      <w:r>
        <w:rPr>
          <w:b/>
          <w:bCs/>
          <w:color w:val="000000"/>
          <w:sz w:val="28"/>
          <w:szCs w:val="28"/>
        </w:rPr>
        <w:t xml:space="preserve">How Points Convert to Money</w:t>
      </w:r>
    </w:p>
    <w:p>
      <w:pPr>
        <w:spacing w:after="160" w:line="276"/>
      </w:pPr>
      <w:r>
        <w:rPr>
          <w:color w:val="000000"/>
          <w:sz w:val="24"/>
          <w:szCs w:val="24"/>
        </w:rPr>
        <w:t xml:space="preserve">Each referral bonus point is worth a fixed rupee amount, with higher-level roles earning more points per successful referral.</w:t>
      </w:r>
    </w:p>
    <w:p>
      <w:pPr>
        <w:pStyle w:val="Heading1"/>
        <w:spacing w:after="120" w:before="240"/>
      </w:pPr>
      <w:r>
        <w:rPr>
          <w:b/>
          <w:bCs/>
          <w:color w:val="000000"/>
          <w:sz w:val="28"/>
          <w:szCs w:val="28"/>
        </w:rPr>
        <w:t xml:space="preserve">Changes to This Policy</w:t>
      </w:r>
    </w:p>
    <w:p>
      <w:pPr>
        <w:spacing w:after="160" w:line="276"/>
      </w:pPr>
      <w:r>
        <w:rPr>
          <w:color w:val="000000"/>
          <w:sz w:val="24"/>
          <w:szCs w:val="24"/>
        </w:rPr>
        <w:t xml:space="preserve">Management can update these terms at any time to meet business or legal needs. If there's ever a dispute, the Head of HR's decision is final.</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2026-10-07T06:31:02.934Z</dcterms:created>
  <dcterms:modified xsi:type="dcterms:W3CDTF">2026-10-07T06:31:02.935Z</dcterms:modified>
</cp:coreProperties>
</file>

<file path=docProps/custom.xml><?xml version="1.0" encoding="utf-8"?>
<Properties xmlns="http://schemas.openxmlformats.org/officeDocument/2006/custom-properties" xmlns:vt="http://schemas.openxmlformats.org/officeDocument/2006/docPropsVTypes"/>
</file>